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80940C" w14:textId="1CB147CE" w:rsidR="00521871" w:rsidRPr="00736F08" w:rsidRDefault="00521871">
      <w:pPr>
        <w:rPr>
          <w:rFonts w:ascii="Times New Roman" w:hAnsi="Times New Roman" w:cs="Times New Roman"/>
          <w:sz w:val="24"/>
          <w:szCs w:val="24"/>
        </w:rPr>
      </w:pPr>
      <w:bookmarkStart w:id="0" w:name="_GoBack"/>
      <w:bookmarkEnd w:id="0"/>
    </w:p>
    <w:p w14:paraId="581C6A0C" w14:textId="551D41BF" w:rsidR="00736F08" w:rsidRPr="00736F08" w:rsidRDefault="00736F08">
      <w:pPr>
        <w:rPr>
          <w:rFonts w:ascii="Times New Roman" w:hAnsi="Times New Roman" w:cs="Times New Roman"/>
          <w:sz w:val="24"/>
          <w:szCs w:val="24"/>
        </w:rPr>
      </w:pPr>
    </w:p>
    <w:p w14:paraId="5E703219" w14:textId="113ED0A3" w:rsidR="00736F08" w:rsidRPr="00736F08" w:rsidRDefault="00736F08" w:rsidP="00736F08">
      <w:pPr>
        <w:jc w:val="center"/>
        <w:rPr>
          <w:rFonts w:ascii="Times New Roman" w:hAnsi="Times New Roman" w:cs="Times New Roman"/>
          <w:sz w:val="24"/>
          <w:szCs w:val="24"/>
        </w:rPr>
      </w:pPr>
    </w:p>
    <w:p w14:paraId="5A0680C0" w14:textId="77777777" w:rsidR="00736F08" w:rsidRPr="00736F08" w:rsidRDefault="00736F08" w:rsidP="00736F08">
      <w:pPr>
        <w:jc w:val="center"/>
        <w:rPr>
          <w:rFonts w:ascii="Times New Roman" w:hAnsi="Times New Roman" w:cs="Times New Roman"/>
          <w:sz w:val="24"/>
          <w:szCs w:val="24"/>
        </w:rPr>
      </w:pPr>
      <w:r w:rsidRPr="00736F08">
        <w:rPr>
          <w:rFonts w:ascii="Times New Roman" w:hAnsi="Times New Roman" w:cs="Times New Roman"/>
          <w:sz w:val="24"/>
          <w:szCs w:val="24"/>
        </w:rPr>
        <w:t>Student’s name.</w:t>
      </w:r>
    </w:p>
    <w:p w14:paraId="46861B18" w14:textId="77777777" w:rsidR="00736F08" w:rsidRPr="00736F08" w:rsidRDefault="00736F08" w:rsidP="00736F08">
      <w:pPr>
        <w:jc w:val="center"/>
        <w:rPr>
          <w:rFonts w:ascii="Times New Roman" w:hAnsi="Times New Roman" w:cs="Times New Roman"/>
          <w:sz w:val="24"/>
          <w:szCs w:val="24"/>
        </w:rPr>
      </w:pPr>
      <w:r w:rsidRPr="00736F08">
        <w:rPr>
          <w:rFonts w:ascii="Times New Roman" w:hAnsi="Times New Roman" w:cs="Times New Roman"/>
          <w:sz w:val="24"/>
          <w:szCs w:val="24"/>
        </w:rPr>
        <w:t>Institutional affiliation.</w:t>
      </w:r>
    </w:p>
    <w:p w14:paraId="21CA3D4A" w14:textId="77777777" w:rsidR="00736F08" w:rsidRPr="00736F08" w:rsidRDefault="00736F08" w:rsidP="00736F08">
      <w:pPr>
        <w:jc w:val="center"/>
        <w:rPr>
          <w:rFonts w:ascii="Times New Roman" w:hAnsi="Times New Roman" w:cs="Times New Roman"/>
          <w:sz w:val="24"/>
          <w:szCs w:val="24"/>
        </w:rPr>
      </w:pPr>
      <w:r w:rsidRPr="00736F08">
        <w:rPr>
          <w:rFonts w:ascii="Times New Roman" w:hAnsi="Times New Roman" w:cs="Times New Roman"/>
          <w:sz w:val="24"/>
          <w:szCs w:val="24"/>
        </w:rPr>
        <w:t>Course name.</w:t>
      </w:r>
    </w:p>
    <w:p w14:paraId="669E03FE" w14:textId="77777777" w:rsidR="00736F08" w:rsidRPr="00736F08" w:rsidRDefault="00736F08" w:rsidP="00736F08">
      <w:pPr>
        <w:jc w:val="center"/>
        <w:rPr>
          <w:rFonts w:ascii="Times New Roman" w:hAnsi="Times New Roman" w:cs="Times New Roman"/>
          <w:sz w:val="24"/>
          <w:szCs w:val="24"/>
        </w:rPr>
      </w:pPr>
      <w:r w:rsidRPr="00736F08">
        <w:rPr>
          <w:rFonts w:ascii="Times New Roman" w:hAnsi="Times New Roman" w:cs="Times New Roman"/>
          <w:sz w:val="24"/>
          <w:szCs w:val="24"/>
        </w:rPr>
        <w:t>Course number.</w:t>
      </w:r>
    </w:p>
    <w:p w14:paraId="31D6B1BE" w14:textId="570C0562" w:rsidR="00736F08" w:rsidRPr="00736F08" w:rsidRDefault="00736F08" w:rsidP="00736F08">
      <w:pPr>
        <w:jc w:val="center"/>
        <w:rPr>
          <w:rFonts w:ascii="Times New Roman" w:hAnsi="Times New Roman" w:cs="Times New Roman"/>
          <w:sz w:val="24"/>
          <w:szCs w:val="24"/>
        </w:rPr>
      </w:pPr>
      <w:r w:rsidRPr="00736F08">
        <w:rPr>
          <w:rFonts w:ascii="Times New Roman" w:hAnsi="Times New Roman" w:cs="Times New Roman"/>
          <w:sz w:val="24"/>
          <w:szCs w:val="24"/>
        </w:rPr>
        <w:t>Date of submission</w:t>
      </w:r>
    </w:p>
    <w:p w14:paraId="48C0BF51" w14:textId="257859E6" w:rsidR="00736F08" w:rsidRPr="00736F08" w:rsidRDefault="00736F08">
      <w:pPr>
        <w:rPr>
          <w:rFonts w:ascii="Times New Roman" w:hAnsi="Times New Roman" w:cs="Times New Roman"/>
          <w:sz w:val="24"/>
          <w:szCs w:val="24"/>
        </w:rPr>
      </w:pPr>
    </w:p>
    <w:p w14:paraId="151D8D5F" w14:textId="29C52D8F" w:rsidR="00736F08" w:rsidRPr="00736F08" w:rsidRDefault="00736F08">
      <w:pPr>
        <w:rPr>
          <w:rFonts w:ascii="Times New Roman" w:hAnsi="Times New Roman" w:cs="Times New Roman"/>
          <w:sz w:val="24"/>
          <w:szCs w:val="24"/>
        </w:rPr>
      </w:pPr>
    </w:p>
    <w:p w14:paraId="0C719BB2" w14:textId="7D6EBFD8" w:rsidR="00736F08" w:rsidRPr="00736F08" w:rsidRDefault="00736F08">
      <w:pPr>
        <w:rPr>
          <w:rFonts w:ascii="Times New Roman" w:hAnsi="Times New Roman" w:cs="Times New Roman"/>
          <w:sz w:val="24"/>
          <w:szCs w:val="24"/>
        </w:rPr>
      </w:pPr>
    </w:p>
    <w:p w14:paraId="1CC2CCEA" w14:textId="783BE1D4" w:rsidR="00736F08" w:rsidRPr="00736F08" w:rsidRDefault="00736F08">
      <w:pPr>
        <w:rPr>
          <w:rFonts w:ascii="Times New Roman" w:hAnsi="Times New Roman" w:cs="Times New Roman"/>
          <w:sz w:val="24"/>
          <w:szCs w:val="24"/>
        </w:rPr>
      </w:pPr>
    </w:p>
    <w:p w14:paraId="2C538464" w14:textId="1B0ACC45" w:rsidR="00736F08" w:rsidRPr="00736F08" w:rsidRDefault="00736F08">
      <w:pPr>
        <w:rPr>
          <w:rFonts w:ascii="Times New Roman" w:hAnsi="Times New Roman" w:cs="Times New Roman"/>
          <w:sz w:val="24"/>
          <w:szCs w:val="24"/>
        </w:rPr>
      </w:pPr>
    </w:p>
    <w:p w14:paraId="084B21AD" w14:textId="45579C93" w:rsidR="00736F08" w:rsidRPr="00736F08" w:rsidRDefault="00736F08">
      <w:pPr>
        <w:rPr>
          <w:rFonts w:ascii="Times New Roman" w:hAnsi="Times New Roman" w:cs="Times New Roman"/>
          <w:sz w:val="24"/>
          <w:szCs w:val="24"/>
        </w:rPr>
      </w:pPr>
    </w:p>
    <w:p w14:paraId="4D1E8C1E" w14:textId="27F23723" w:rsidR="00736F08" w:rsidRPr="00736F08" w:rsidRDefault="00736F08">
      <w:pPr>
        <w:rPr>
          <w:rFonts w:ascii="Times New Roman" w:hAnsi="Times New Roman" w:cs="Times New Roman"/>
          <w:sz w:val="24"/>
          <w:szCs w:val="24"/>
        </w:rPr>
      </w:pPr>
    </w:p>
    <w:p w14:paraId="123A0432" w14:textId="56BFBAC5" w:rsidR="00736F08" w:rsidRPr="00736F08" w:rsidRDefault="00736F08">
      <w:pPr>
        <w:rPr>
          <w:rFonts w:ascii="Times New Roman" w:hAnsi="Times New Roman" w:cs="Times New Roman"/>
          <w:sz w:val="24"/>
          <w:szCs w:val="24"/>
        </w:rPr>
      </w:pPr>
    </w:p>
    <w:p w14:paraId="146CF1C8" w14:textId="328453CF" w:rsidR="00736F08" w:rsidRPr="00736F08" w:rsidRDefault="00736F08">
      <w:pPr>
        <w:rPr>
          <w:rFonts w:ascii="Times New Roman" w:hAnsi="Times New Roman" w:cs="Times New Roman"/>
          <w:sz w:val="24"/>
          <w:szCs w:val="24"/>
        </w:rPr>
      </w:pPr>
    </w:p>
    <w:p w14:paraId="198FF0FC" w14:textId="421CC3A5" w:rsidR="00736F08" w:rsidRPr="00736F08" w:rsidRDefault="00736F08">
      <w:pPr>
        <w:rPr>
          <w:rFonts w:ascii="Times New Roman" w:hAnsi="Times New Roman" w:cs="Times New Roman"/>
          <w:sz w:val="24"/>
          <w:szCs w:val="24"/>
        </w:rPr>
      </w:pPr>
    </w:p>
    <w:p w14:paraId="648A7172" w14:textId="2E2F20D2" w:rsidR="00736F08" w:rsidRPr="00736F08" w:rsidRDefault="00736F08">
      <w:pPr>
        <w:rPr>
          <w:rFonts w:ascii="Times New Roman" w:hAnsi="Times New Roman" w:cs="Times New Roman"/>
          <w:sz w:val="24"/>
          <w:szCs w:val="24"/>
        </w:rPr>
      </w:pPr>
    </w:p>
    <w:p w14:paraId="610ADC2C" w14:textId="78AD738D" w:rsidR="00736F08" w:rsidRPr="00736F08" w:rsidRDefault="00736F08">
      <w:pPr>
        <w:rPr>
          <w:rFonts w:ascii="Times New Roman" w:hAnsi="Times New Roman" w:cs="Times New Roman"/>
          <w:sz w:val="24"/>
          <w:szCs w:val="24"/>
        </w:rPr>
      </w:pPr>
    </w:p>
    <w:p w14:paraId="3136D3D2" w14:textId="1F68F2D6" w:rsidR="00736F08" w:rsidRPr="00736F08" w:rsidRDefault="00736F08">
      <w:pPr>
        <w:rPr>
          <w:rFonts w:ascii="Times New Roman" w:hAnsi="Times New Roman" w:cs="Times New Roman"/>
          <w:sz w:val="24"/>
          <w:szCs w:val="24"/>
        </w:rPr>
      </w:pPr>
    </w:p>
    <w:p w14:paraId="1838C387" w14:textId="54B1C5F8" w:rsidR="00736F08" w:rsidRPr="00736F08" w:rsidRDefault="00736F08">
      <w:pPr>
        <w:rPr>
          <w:rFonts w:ascii="Times New Roman" w:hAnsi="Times New Roman" w:cs="Times New Roman"/>
          <w:sz w:val="24"/>
          <w:szCs w:val="24"/>
        </w:rPr>
      </w:pPr>
    </w:p>
    <w:p w14:paraId="6A485160" w14:textId="03375FD7" w:rsidR="00736F08" w:rsidRDefault="00736F08">
      <w:pPr>
        <w:rPr>
          <w:rFonts w:ascii="Times New Roman" w:hAnsi="Times New Roman" w:cs="Times New Roman"/>
          <w:sz w:val="24"/>
          <w:szCs w:val="24"/>
        </w:rPr>
      </w:pPr>
    </w:p>
    <w:p w14:paraId="7E646968" w14:textId="77777777" w:rsidR="00736F08" w:rsidRPr="00736F08" w:rsidRDefault="00736F08">
      <w:pPr>
        <w:rPr>
          <w:rFonts w:ascii="Times New Roman" w:hAnsi="Times New Roman" w:cs="Times New Roman"/>
          <w:sz w:val="24"/>
          <w:szCs w:val="24"/>
        </w:rPr>
      </w:pPr>
    </w:p>
    <w:p w14:paraId="7EE13902" w14:textId="5549DBC2" w:rsidR="00273E6F" w:rsidRPr="00736F08" w:rsidRDefault="00736F08" w:rsidP="00736F08">
      <w:pPr>
        <w:ind w:firstLine="720"/>
        <w:rPr>
          <w:rFonts w:ascii="Times New Roman" w:hAnsi="Times New Roman" w:cs="Times New Roman"/>
          <w:sz w:val="24"/>
          <w:szCs w:val="24"/>
        </w:rPr>
      </w:pPr>
      <w:r w:rsidRPr="00736F08">
        <w:rPr>
          <w:rFonts w:ascii="Times New Roman" w:hAnsi="Times New Roman" w:cs="Times New Roman"/>
          <w:sz w:val="24"/>
          <w:szCs w:val="24"/>
        </w:rPr>
        <w:lastRenderedPageBreak/>
        <w:t>The writer has followed all the instructions for the research report and provided all sections of the report. However, the executive summary has been put after the table of contents, yet it is required to be before. This arranges all the contents, not follow the required order from Victoria business school. Although there are appropriate headings and subheadings, they are not written and designed differently to be clear from the rest of the content. Overall, however, the report follows the basic format, but an improvement needs to be done on its organization and presentation.</w:t>
      </w:r>
    </w:p>
    <w:p w14:paraId="34A95DA7" w14:textId="3C7D68D8" w:rsidR="004F36B2" w:rsidRPr="00736F08" w:rsidRDefault="00736F08" w:rsidP="00736F08">
      <w:pPr>
        <w:ind w:firstLine="720"/>
        <w:rPr>
          <w:rFonts w:ascii="Times New Roman" w:hAnsi="Times New Roman" w:cs="Times New Roman"/>
          <w:sz w:val="24"/>
          <w:szCs w:val="24"/>
        </w:rPr>
      </w:pPr>
      <w:r w:rsidRPr="00736F08">
        <w:rPr>
          <w:rFonts w:ascii="Times New Roman" w:hAnsi="Times New Roman" w:cs="Times New Roman"/>
          <w:sz w:val="24"/>
          <w:szCs w:val="24"/>
        </w:rPr>
        <w:t>The executive summary has been written following the format required by the Victoria business school</w:t>
      </w:r>
      <w:r w:rsidR="007F3824" w:rsidRPr="00736F08">
        <w:rPr>
          <w:rFonts w:ascii="Times New Roman" w:hAnsi="Times New Roman" w:cs="Times New Roman"/>
          <w:sz w:val="24"/>
          <w:szCs w:val="24"/>
        </w:rPr>
        <w:t xml:space="preserve"> model. The components of the executive plan have been well put and discussed to reflect the report at large. The report's purpose and method have been included, findings and conclusion, and the recommendations of the report are all present in summarized form. So, the executive can be concluded as having adhered to the requirements from the model. </w:t>
      </w:r>
    </w:p>
    <w:p w14:paraId="77AD3DC8" w14:textId="270D3976" w:rsidR="007F3824" w:rsidRPr="00736F08" w:rsidRDefault="00736F08">
      <w:pPr>
        <w:rPr>
          <w:rFonts w:ascii="Times New Roman" w:hAnsi="Times New Roman" w:cs="Times New Roman"/>
          <w:sz w:val="24"/>
          <w:szCs w:val="24"/>
        </w:rPr>
      </w:pPr>
      <w:r w:rsidRPr="00736F08">
        <w:rPr>
          <w:rFonts w:ascii="Times New Roman" w:hAnsi="Times New Roman" w:cs="Times New Roman"/>
          <w:sz w:val="24"/>
          <w:szCs w:val="24"/>
        </w:rPr>
        <w:t>One of the primary sources is the survey questions</w:t>
      </w:r>
      <w:r w:rsidR="00521871" w:rsidRPr="00736F08">
        <w:rPr>
          <w:rFonts w:ascii="Times New Roman" w:hAnsi="Times New Roman" w:cs="Times New Roman"/>
          <w:sz w:val="24"/>
          <w:szCs w:val="24"/>
        </w:rPr>
        <w:t xml:space="preserve"> on the employees to determine their feelings towards the current efforts to retain their employment and also analyze the data collected. </w:t>
      </w:r>
    </w:p>
    <w:p w14:paraId="41621C5D" w14:textId="1D2F990E" w:rsidR="00521871" w:rsidRPr="00736F08" w:rsidRDefault="00736F08">
      <w:pPr>
        <w:rPr>
          <w:rFonts w:ascii="Times New Roman" w:hAnsi="Times New Roman" w:cs="Times New Roman"/>
          <w:sz w:val="24"/>
          <w:szCs w:val="24"/>
        </w:rPr>
      </w:pPr>
      <w:r w:rsidRPr="00736F08">
        <w:rPr>
          <w:rFonts w:ascii="Times New Roman" w:hAnsi="Times New Roman" w:cs="Times New Roman"/>
          <w:sz w:val="24"/>
          <w:szCs w:val="24"/>
        </w:rPr>
        <w:t>The secondary sources include peer-reviewed journals and academic publications that helped to support the notion that there are ways to improve retention rates and turnover rates. An example is:</w:t>
      </w:r>
    </w:p>
    <w:p w14:paraId="51539509" w14:textId="77777777" w:rsidR="00521871" w:rsidRPr="00736F08" w:rsidRDefault="00736F08" w:rsidP="00521871">
      <w:pPr>
        <w:rPr>
          <w:rFonts w:ascii="Times New Roman" w:hAnsi="Times New Roman" w:cs="Times New Roman"/>
          <w:sz w:val="24"/>
          <w:szCs w:val="24"/>
        </w:rPr>
      </w:pPr>
      <w:r w:rsidRPr="00736F08">
        <w:rPr>
          <w:rFonts w:ascii="Times New Roman" w:hAnsi="Times New Roman" w:cs="Times New Roman"/>
          <w:sz w:val="24"/>
          <w:szCs w:val="24"/>
        </w:rPr>
        <w:t>Abrams, M. (2002). Back to basics 1. Employee retention and turnover: Holding managers</w:t>
      </w:r>
    </w:p>
    <w:p w14:paraId="0E896A24" w14:textId="77777777" w:rsidR="00521871" w:rsidRPr="00736F08" w:rsidRDefault="00736F08" w:rsidP="00521871">
      <w:pPr>
        <w:rPr>
          <w:rFonts w:ascii="Times New Roman" w:hAnsi="Times New Roman" w:cs="Times New Roman"/>
          <w:sz w:val="24"/>
          <w:szCs w:val="24"/>
        </w:rPr>
      </w:pPr>
      <w:r w:rsidRPr="00736F08">
        <w:rPr>
          <w:rFonts w:ascii="Times New Roman" w:hAnsi="Times New Roman" w:cs="Times New Roman"/>
          <w:sz w:val="24"/>
          <w:szCs w:val="24"/>
        </w:rPr>
        <w:t>accountable. Trustee: The Journal for Hospital Governing Boards, 55(3), 15–18.</w:t>
      </w:r>
    </w:p>
    <w:p w14:paraId="48B9A1D2" w14:textId="77777777" w:rsidR="00521871" w:rsidRPr="00736F08" w:rsidRDefault="00736F08" w:rsidP="00521871">
      <w:pPr>
        <w:rPr>
          <w:rFonts w:ascii="Times New Roman" w:hAnsi="Times New Roman" w:cs="Times New Roman"/>
          <w:sz w:val="24"/>
          <w:szCs w:val="24"/>
        </w:rPr>
      </w:pPr>
      <w:r w:rsidRPr="00736F08">
        <w:rPr>
          <w:rFonts w:ascii="Times New Roman" w:hAnsi="Times New Roman" w:cs="Times New Roman"/>
          <w:sz w:val="24"/>
          <w:szCs w:val="24"/>
        </w:rPr>
        <w:t>Retrieved from https://www.journalguide.com/journals/trustee-the-journal-for-hospital-</w:t>
      </w:r>
    </w:p>
    <w:p w14:paraId="460F66CE" w14:textId="1481DEB7" w:rsidR="00521871" w:rsidRPr="00736F08" w:rsidRDefault="00736F08" w:rsidP="00521871">
      <w:pPr>
        <w:rPr>
          <w:rFonts w:ascii="Times New Roman" w:hAnsi="Times New Roman" w:cs="Times New Roman"/>
          <w:sz w:val="24"/>
          <w:szCs w:val="24"/>
        </w:rPr>
      </w:pPr>
      <w:r w:rsidRPr="00736F08">
        <w:rPr>
          <w:rFonts w:ascii="Times New Roman" w:hAnsi="Times New Roman" w:cs="Times New Roman"/>
          <w:sz w:val="24"/>
          <w:szCs w:val="24"/>
        </w:rPr>
        <w:t>governing-boards</w:t>
      </w:r>
    </w:p>
    <w:sectPr w:rsidR="00521871" w:rsidRPr="00736F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6B2"/>
    <w:rsid w:val="00273E6F"/>
    <w:rsid w:val="004F36B2"/>
    <w:rsid w:val="00521871"/>
    <w:rsid w:val="00736F08"/>
    <w:rsid w:val="007C69D0"/>
    <w:rsid w:val="007F3824"/>
    <w:rsid w:val="009D5DA4"/>
    <w:rsid w:val="00BB4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FDC82"/>
  <w15:chartTrackingRefBased/>
  <w15:docId w15:val="{ED78ECC2-82AD-4686-8A41-E653C678D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268</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2020-07-15T17:44:00Z</dcterms:created>
  <dcterms:modified xsi:type="dcterms:W3CDTF">2020-07-15T17:44:00Z</dcterms:modified>
</cp:coreProperties>
</file>